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Pitch: </w:t>
      </w:r>
      <w:r w:rsidDel="00000000" w:rsidR="00000000" w:rsidRPr="00000000">
        <w:rPr>
          <w:b w:val="1"/>
          <w:u w:val="single"/>
          <w:rtl w:val="0"/>
        </w:rPr>
        <w:t xml:space="preserve">Use of Novel Technologies for Biodiversity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There is a long history of monitoring the UK’s wildlife and today new technologies are reshaping how, what and where we can monitor, supporting the protection and enhancement of our biodiversity.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 Thamesmead RSK Wilding are assessing the effects of urban regeneration interventions considering: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Habitats: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UK Habitat Classification surveys are enabling not just the habitats present but their condition to be assessed with the findings of these surveys guiding biodiversity friendly management practices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Invertebrates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ideal indicators of the ecological status of a site. Historically species identification has been a painstaking and highly specialised process but at Thamesmead we are using the latest in DNA analysis methods, metabarcoding, to allow rapid assessment of the species present.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Acoustic Monitoring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become increasingly effective while costs have rapidly decreased. At Thamesmead we are using AudioMoths to monitor bats and birds and a range of automated analysis process to identify the species using the site.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addition, we are undertaking a detailed review of current and potential monitoring methods suitable for urban environments. This will support guidance that encourages the widespread monitoring of biodiversity across London with a toolbox of monitoring methods.  Find out more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here: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1994" w:left="1440" w:right="1440" w:header="708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icola  Murphy-Evans " w:id="0" w:date="2023-04-28T13:51:00Z"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follow</w:t>
      </w:r>
    </w:p>
  </w:comment>
  <w:comment w:author="Nicola  Murphy-Evans  [2]" w:id="1" w:date="2023-04-28T13:51:00Z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A" w15:done="0"/>
  <w15:commentEx w15:paraId="0000000B" w15:paraIdParent="0000000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4095750</wp:posOffset>
          </wp:positionH>
          <wp:positionV relativeFrom="paragraph">
            <wp:posOffset>-372109</wp:posOffset>
          </wp:positionV>
          <wp:extent cx="2212975" cy="84264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2975" cy="8426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rong">
    <w:name w:val="Strong"/>
    <w:basedOn w:val="DefaultParagraphFont"/>
    <w:uiPriority w:val="22"/>
    <w:qFormat w:val="1"/>
    <w:rsid w:val="0024088A"/>
    <w:rPr>
      <w:b w:val="1"/>
      <w:bCs w:val="1"/>
    </w:rPr>
  </w:style>
  <w:style w:type="character" w:styleId="HeaderChar" w:customStyle="1">
    <w:name w:val="Header Char"/>
    <w:basedOn w:val="DefaultParagraphFont"/>
    <w:link w:val="Header"/>
    <w:uiPriority w:val="99"/>
    <w:qFormat w:val="1"/>
    <w:rsid w:val="000E3FCF"/>
    <w:rPr/>
  </w:style>
  <w:style w:type="character" w:styleId="FooterChar" w:customStyle="1">
    <w:name w:val="Footer Char"/>
    <w:basedOn w:val="DefaultParagraphFont"/>
    <w:link w:val="Footer"/>
    <w:uiPriority w:val="99"/>
    <w:qFormat w:val="1"/>
    <w:rsid w:val="000E3FCF"/>
    <w:rPr/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A2567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qFormat w:val="1"/>
    <w:rsid w:val="00A25678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qFormat w:val="1"/>
    <w:rsid w:val="00A25678"/>
    <w:rPr>
      <w:b w:val="1"/>
      <w:bCs w:val="1"/>
      <w:sz w:val="20"/>
      <w:szCs w:val="20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Carlito" w:cs="Noto Sans Devanagari" w:eastAsia="Noto Sans CJK SC" w:hAnsi="Carlito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</w:rPr>
  </w:style>
  <w:style w:type="paragraph" w:styleId="ListParagraph">
    <w:name w:val="List Paragraph"/>
    <w:basedOn w:val="Normal"/>
    <w:uiPriority w:val="34"/>
    <w:qFormat w:val="1"/>
    <w:rsid w:val="00C77065"/>
    <w:pPr>
      <w:spacing w:after="160" w:before="0"/>
      <w:ind w:left="720" w:hanging="0"/>
      <w:contextualSpacing w:val="1"/>
    </w:pPr>
    <w:rPr/>
  </w:style>
  <w:style w:type="paragraph" w:styleId="NormalWeb">
    <w:name w:val="Normal (Web)"/>
    <w:basedOn w:val="Normal"/>
    <w:uiPriority w:val="99"/>
    <w:semiHidden w:val="1"/>
    <w:unhideWhenUsed w:val="1"/>
    <w:qFormat w:val="1"/>
    <w:rsid w:val="0024088A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Normal"/>
    <w:link w:val="HeaderChar"/>
    <w:uiPriority w:val="99"/>
    <w:unhideWhenUsed w:val="1"/>
    <w:rsid w:val="000E3FCF"/>
    <w:pPr>
      <w:tabs>
        <w:tab w:val="clear" w:pos="720"/>
        <w:tab w:val="center" w:leader="none" w:pos="4513"/>
        <w:tab w:val="right" w:leader="none" w:pos="9026"/>
      </w:tabs>
      <w:spacing w:after="0" w:before="0" w:line="240" w:lineRule="auto"/>
    </w:pPr>
    <w:rPr/>
  </w:style>
  <w:style w:type="paragraph" w:styleId="Footer">
    <w:name w:val="Footer"/>
    <w:basedOn w:val="Normal"/>
    <w:link w:val="FooterChar"/>
    <w:uiPriority w:val="99"/>
    <w:unhideWhenUsed w:val="1"/>
    <w:rsid w:val="000E3FCF"/>
    <w:pPr>
      <w:tabs>
        <w:tab w:val="clear" w:pos="720"/>
        <w:tab w:val="center" w:leader="none" w:pos="4513"/>
        <w:tab w:val="right" w:leader="none" w:pos="9026"/>
      </w:tabs>
      <w:spacing w:after="0" w:before="0" w:line="240" w:lineRule="auto"/>
    </w:pPr>
    <w:rPr/>
  </w:style>
  <w:style w:type="paragraph" w:styleId="Annotationtext">
    <w:name w:val="annotation text"/>
    <w:basedOn w:val="Normal"/>
    <w:link w:val="CommentTextChar"/>
    <w:uiPriority w:val="99"/>
    <w:semiHidden w:val="1"/>
    <w:unhideWhenUsed w:val="1"/>
    <w:qFormat w:val="1"/>
    <w:rsid w:val="00A25678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1"/>
    <w:unhideWhenUsed w:val="1"/>
    <w:qFormat w:val="1"/>
    <w:rsid w:val="00A25678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fsDl5RnrUYxTtexLknuaHF7QQ==">CgMxLjAaJwoBMBIiCiAIBCocCgtBQUFBeERvQ3JfRRAIGgtBQUFBeERvQ3JfRRonCgExEiIKIAgEKhwKC0FBQUF4RG9Dcl9FEAgaC0FBQUF4RG9Dcl9JIs8ECgtBQUFBeERvQ3JfRRKlBAoLQUFBQXhEb0NyX0USC0FBQUF4RG9Dcl9FGhYKCXRleHQvaHRtbBIJVG8gZm9sbG93IhcKCnRleHQvcGxhaW4SCVRvIGZvbGxvdypOChVOaWNvbGEgIE11cnBoeS1FdmFucyAaNS8vc3NsLmdzdGF0aWMuY29tL2RvY3MvY29tbW9uL2JsdWVfc2lsaG91ZXR0ZTk2LTAucG5nMKDDhsH8MDiExIbB/DBChQIKC0FBQUF4RG9Dcl9JEgtBQUFBeERvQ3JfRRoNCgl0ZXh0L2h0bWwSACIOCgp0ZXh0L3BsYWluEgAqUgoZTmljb2xhICBNdXJwaHktRXZhbnMgIFsyXRo1Ly9zc2wuZ3N0YXRpYy5jb20vZG9jcy9jb21tb24vYmx1ZV9zaWxob3VldHRlOTYtMC5wbmcwhMSGwfwwOITEhsH8MHJUChlOaWNvbGEgIE11cnBoeS1FdmFucyAgWzJdGjcKNS8vc3NsLmdzdGF0aWMuY29tL2RvY3MvY29tbW9uL2JsdWVfc2lsaG91ZXR0ZTk2LTAucG5neACIAQGaAQYIABAAGACwAQC4AQFyUAoVTmljb2xhICBNdXJwaHktRXZhbnMgGjcKNS8vc3NsLmdzdGF0aWMuY29tL2RvY3MvY29tbW9uL2JsdWVfc2lsaG91ZXR0ZTk2LTAucG5neACIAQGaAQYIABAAGACqAQsSCVRvIGZvbGxvd7ABALgBARigw4bB/DAghMSGwfwwMABCCGtpeC5jbXQxMghoLmdqZGd4czgAciExZFNIam4zOWtNMzEyNF8tUVBkOVBNa2hUNVZxOGYyS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2023-04-28T12:51:00Z</dcterms:created>
  <dc:creator>Kathryn Skinner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0x0101004CFEFD1CFF8B1843970B03F1F52D7837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